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Cambria" w:eastAsia="仿宋_GB2312"/>
          <w:sz w:val="32"/>
          <w:szCs w:val="32"/>
        </w:rPr>
      </w:pPr>
      <w:r>
        <w:rPr>
          <w:rFonts w:hint="eastAsia" w:ascii="仿宋_GB2312" w:hAnsi="Cambria" w:eastAsia="仿宋_GB2312"/>
          <w:sz w:val="32"/>
          <w:szCs w:val="32"/>
        </w:rPr>
        <w:t>附件7</w:t>
      </w:r>
      <w:r>
        <w:rPr>
          <w:sz w:val="32"/>
        </w:rPr>
        <mc:AlternateContent>
          <mc:Choice Requires="wps">
            <w:drawing>
              <wp:anchor distT="0" distB="0" distL="114300" distR="114300" simplePos="0" relativeHeight="251658240" behindDoc="0" locked="0" layoutInCell="1" allowOverlap="1">
                <wp:simplePos x="0" y="0"/>
                <wp:positionH relativeFrom="column">
                  <wp:posOffset>1880870</wp:posOffset>
                </wp:positionH>
                <wp:positionV relativeFrom="paragraph">
                  <wp:posOffset>-627380</wp:posOffset>
                </wp:positionV>
                <wp:extent cx="3867150" cy="704215"/>
                <wp:effectExtent l="4445" t="4445" r="14605" b="15240"/>
                <wp:wrapNone/>
                <wp:docPr id="1" name="文本框 1"/>
                <wp:cNvGraphicFramePr/>
                <a:graphic xmlns:a="http://schemas.openxmlformats.org/drawingml/2006/main">
                  <a:graphicData uri="http://schemas.microsoft.com/office/word/2010/wordprocessingShape">
                    <wps:wsp>
                      <wps:cNvSpPr txBox="1"/>
                      <wps:spPr>
                        <a:xfrm>
                          <a:off x="0" y="0"/>
                          <a:ext cx="3867150" cy="7042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24"/>
                                <w:szCs w:val="28"/>
                                <w:lang w:val="en-US" w:eastAsia="zh-CN"/>
                              </w:rPr>
                              <w:t>请财务处填报第1、7项，组织人事处填报第2项，教务处填报3-6项，并保证与数据平台相一致，请于9月24日前，提交教务处潘慧老师。1352682737@qq.com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1pt;margin-top:-49.4pt;height:55.45pt;width:304.5pt;z-index:251658240;mso-width-relative:page;mso-height-relative:page;" fillcolor="#FFFFFF [3201]" filled="t" stroked="t" coordsize="21600,21600" o:gfxdata="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Apymx3WAAAACgEAAA8AAAAAAAAAAQAgAAAAIgAAAGRycy9kb3du&#10;cmV2LnhtbFBLAQIUABQAAAAIAIdO4kBOPTUGOgIAAGkEAAAOAAAAAAAAAAEAIAAAACUBAABkcnMv&#10;ZTJvRG9jLnhtbFBLBQYAAAAABgAGAFkBAADRBQ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sz w:val="24"/>
                          <w:szCs w:val="28"/>
                          <w:lang w:val="en-US" w:eastAsia="zh-CN"/>
                        </w:rPr>
                        <w:t>请财务处填报第1、7项，组织人事处填报第2项，教务处填报3-6项，并保证与数据平台相一致，请于9月24日前，提交教务处潘慧老师。1352682737@qq.com</w:t>
                      </w:r>
                    </w:p>
                  </w:txbxContent>
                </v:textbox>
              </v:shape>
            </w:pict>
          </mc:Fallback>
        </mc:AlternateContent>
      </w:r>
    </w:p>
    <w:p>
      <w:pPr>
        <w:snapToGrid w:val="0"/>
        <w:spacing w:after="156" w:afterLines="50"/>
        <w:ind w:firstLine="1440" w:firstLineChars="400"/>
        <w:outlineLvl w:val="0"/>
        <w:rPr>
          <w:rFonts w:ascii="黑体" w:hAnsi="黑体" w:eastAsia="黑体" w:cs="宋体"/>
          <w:kern w:val="0"/>
          <w:sz w:val="36"/>
          <w:szCs w:val="36"/>
        </w:rPr>
      </w:pPr>
      <w:r>
        <w:rPr>
          <w:rFonts w:hint="eastAsia" w:ascii="黑体" w:hAnsi="黑体" w:eastAsia="黑体" w:cs="宋体"/>
          <w:kern w:val="0"/>
          <w:sz w:val="36"/>
          <w:szCs w:val="36"/>
        </w:rPr>
        <w:t>“</w:t>
      </w:r>
      <w:r>
        <w:rPr>
          <w:rFonts w:hint="eastAsia" w:ascii="黑体" w:hAnsi="黑体" w:eastAsia="黑体" w:cs="微软雅黑"/>
          <w:kern w:val="0"/>
          <w:sz w:val="36"/>
          <w:szCs w:val="36"/>
        </w:rPr>
        <w:t>落实政策表</w:t>
      </w:r>
      <w:r>
        <w:rPr>
          <w:rFonts w:hint="eastAsia" w:ascii="黑体" w:hAnsi="黑体" w:eastAsia="黑体" w:cs="Malgun Gothic Semilight"/>
          <w:kern w:val="0"/>
          <w:sz w:val="36"/>
          <w:szCs w:val="36"/>
        </w:rPr>
        <w:t>”</w:t>
      </w:r>
      <w:r>
        <w:rPr>
          <w:rFonts w:hint="eastAsia" w:ascii="黑体" w:hAnsi="黑体" w:eastAsia="黑体" w:cs="微软雅黑"/>
          <w:kern w:val="0"/>
          <w:sz w:val="36"/>
          <w:szCs w:val="36"/>
        </w:rPr>
        <w:t>指标</w:t>
      </w:r>
      <w:bookmarkStart w:id="0" w:name="_GoBack"/>
      <w:bookmarkEnd w:id="0"/>
      <w:r>
        <w:rPr>
          <w:rFonts w:hint="eastAsia" w:ascii="黑体" w:hAnsi="黑体" w:eastAsia="黑体" w:cs="微软雅黑"/>
          <w:kern w:val="0"/>
          <w:sz w:val="36"/>
          <w:szCs w:val="36"/>
        </w:rPr>
        <w:t>及相关内涵说明</w:t>
      </w:r>
    </w:p>
    <w:p>
      <w:pPr>
        <w:spacing w:line="520" w:lineRule="exact"/>
        <w:ind w:firstLine="640" w:firstLineChars="200"/>
        <w:rPr>
          <w:rFonts w:ascii="仿宋_GB2312" w:hAnsi="Cambria" w:eastAsia="仿宋_GB2312"/>
          <w:sz w:val="32"/>
          <w:szCs w:val="32"/>
        </w:rPr>
      </w:pPr>
      <w:r>
        <w:rPr>
          <w:rFonts w:hint="eastAsia" w:ascii="仿宋_GB2312" w:hAnsi="Cambria" w:eastAsia="仿宋_GB2312"/>
          <w:sz w:val="32"/>
          <w:szCs w:val="32"/>
        </w:rPr>
        <w:t>“落实政策表”系通过院校数据反映政府落实国家发展高职教育政策情况的管理评价工具。</w:t>
      </w:r>
    </w:p>
    <w:p>
      <w:pPr>
        <w:spacing w:line="520" w:lineRule="exact"/>
        <w:ind w:firstLine="640" w:firstLineChars="200"/>
        <w:rPr>
          <w:rFonts w:ascii="仿宋_GB2312" w:hAnsi="Cambria" w:eastAsia="仿宋_GB2312"/>
          <w:sz w:val="32"/>
          <w:szCs w:val="32"/>
        </w:rPr>
      </w:pPr>
      <w:r>
        <w:rPr>
          <w:rFonts w:hint="eastAsia" w:ascii="仿宋_GB2312" w:hAnsi="Cambria" w:eastAsia="仿宋_GB2312"/>
          <w:sz w:val="32"/>
          <w:szCs w:val="32"/>
        </w:rPr>
        <w:t>1.“年生均财政拨款水平”：按照《财政部 教育部关于建立完善以改革和绩效为导向的生均拨款制度加快发展现代高等职业教育的意见》（财教〔2014〕352号）要求，“年生均财政拨款水平”是指政府收支分类科目“2050305高等职业教育”中，地方财政通过一般公共预算安排用于支持高职院校发展的经费，按全日制高等职业学历教育在校生人数折算的平均水平，包括基本支出和项目支出。“年生均财政专项经费”是指“年生均财政拨款水平”中的专项经费支出。</w:t>
      </w:r>
      <w:r>
        <w:rPr>
          <w:rFonts w:hint="eastAsia" w:ascii="仿宋_GB2312" w:hAnsi="Cambria" w:eastAsia="仿宋_GB2312" w:cs="宋体"/>
          <w:kern w:val="0"/>
          <w:sz w:val="32"/>
          <w:szCs w:val="32"/>
        </w:rPr>
        <w:t>统计截止时点以财政年度为准。</w:t>
      </w:r>
    </w:p>
    <w:p>
      <w:pPr>
        <w:spacing w:line="52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2.“教职员工额定编制数”指人力资源保障部门核定的学校教职工编制数；“在岗教职员工总数”指学校在编在岗教职员工和编外聘用的教学、科研和行政岗位人员总数（不含编外聘用的工勤人员）。“专任教师总数”指具有教师资格，专门从事教学工作的人员，可包括正式签约聘用的非在编的全职教师。“专任教师年培训量”指年度内专任教师参加各类培训的规模。</w:t>
      </w:r>
    </w:p>
    <w:p>
      <w:pPr>
        <w:spacing w:line="52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3.“企业提供的校内实践教学设备值”指企业为学校提供的实践教学设备（设备在学校，产权属企业，学校有使用权）的总资产值。按照企业采购原值计算。</w:t>
      </w:r>
    </w:p>
    <w:p>
      <w:pPr>
        <w:spacing w:line="52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4.“年生均校外实训基地实习时间”指上学年在校学生参加校外实训（实习、实践）基地（指校企签订合作协议的基地）实习时间，按全日制学历教育在校生人数折算的平均水平。</w:t>
      </w:r>
    </w:p>
    <w:p>
      <w:pPr>
        <w:spacing w:line="520" w:lineRule="exact"/>
        <w:ind w:firstLine="640" w:firstLineChars="200"/>
        <w:rPr>
          <w:rFonts w:ascii="仿宋_GB2312" w:hAnsi="Cambria" w:eastAsia="仿宋_GB2312"/>
          <w:sz w:val="32"/>
          <w:szCs w:val="32"/>
        </w:rPr>
      </w:pPr>
      <w:r>
        <w:rPr>
          <w:rFonts w:hint="eastAsia" w:ascii="仿宋_GB2312" w:hAnsi="Cambria" w:eastAsia="仿宋_GB2312"/>
          <w:sz w:val="32"/>
          <w:szCs w:val="32"/>
        </w:rPr>
        <w:t>5.“生均企业实习经费补贴”指用于补贴学生企业实习的经费(补贴给学生个人或企业),按照实习学生人数折算的平均水平。其中，“生均财政专项补贴”是指“生均企业实习经费补贴”中的财政专项经费，如果没有单列财政专项则不填。</w:t>
      </w:r>
    </w:p>
    <w:p>
      <w:pPr>
        <w:spacing w:line="520" w:lineRule="exact"/>
        <w:ind w:firstLine="640" w:firstLineChars="200"/>
        <w:rPr>
          <w:rFonts w:hint="eastAsia" w:ascii="仿宋_GB2312" w:hAnsi="Cambria" w:eastAsia="仿宋_GB2312"/>
          <w:sz w:val="32"/>
          <w:szCs w:val="32"/>
        </w:rPr>
      </w:pPr>
      <w:r>
        <w:rPr>
          <w:rFonts w:hint="eastAsia" w:ascii="仿宋_GB2312" w:hAnsi="Cambria" w:eastAsia="仿宋_GB2312"/>
          <w:sz w:val="32"/>
          <w:szCs w:val="32"/>
        </w:rPr>
        <w:t>6.“生均企业实习责任保险补贴”指用于补贴学生企业实习责任保险的经费，按照实习学生人数折算的平均水平。其中，“生均财政专项补贴”是指“生均企业实习责任保险补贴”中的财政专项经费，如果没有单列财政专项则不填。</w:t>
      </w:r>
    </w:p>
    <w:p>
      <w:pPr>
        <w:spacing w:line="520" w:lineRule="exact"/>
        <w:ind w:firstLine="640" w:firstLineChars="200"/>
        <w:rPr>
          <w:rFonts w:hint="eastAsia" w:ascii="仿宋_GB2312" w:hAnsi="Cambria" w:eastAsia="仿宋_GB2312"/>
          <w:sz w:val="32"/>
          <w:szCs w:val="32"/>
        </w:rPr>
        <w:sectPr>
          <w:pgSz w:w="11906" w:h="16838"/>
          <w:pgMar w:top="1440" w:right="1797" w:bottom="1440" w:left="1814" w:header="851" w:footer="992" w:gutter="0"/>
          <w:pgNumType w:fmt="numberInDash"/>
          <w:cols w:space="720" w:num="1"/>
          <w:titlePg/>
          <w:docGrid w:type="lines" w:linePitch="312" w:charSpace="0"/>
        </w:sectPr>
      </w:pPr>
      <w:r>
        <w:rPr>
          <w:rFonts w:hint="eastAsia" w:ascii="仿宋_GB2312" w:hAnsi="Cambria" w:eastAsia="仿宋_GB2312"/>
          <w:sz w:val="32"/>
          <w:szCs w:val="32"/>
        </w:rPr>
        <w:t>7.“企业兼职教师年课时总量”指企业兼职教师当年为学生授课课时总量。“年支付企业兼职教师课酬”指每年度用于支付企业兼职教师担任专业理论课、专业实践课教师的课时费总金额。兼课教师费用、企业兼职教师授课以外的费用都不能统计在内。其中，“财政专项补贴”是指“年支付企业兼职教师课酬”中的财政专项经费。</w:t>
      </w:r>
    </w:p>
    <w:p>
      <w:pPr>
        <w:spacing w:line="520" w:lineRule="exact"/>
        <w:jc w:val="center"/>
        <w:rPr>
          <w:rFonts w:ascii="黑体" w:hAnsi="黑体" w:eastAsia="黑体"/>
          <w:sz w:val="32"/>
          <w:szCs w:val="32"/>
        </w:rPr>
      </w:pPr>
      <w:r>
        <w:rPr>
          <w:rFonts w:hint="eastAsia" w:ascii="黑体" w:hAnsi="黑体" w:eastAsia="黑体"/>
          <w:sz w:val="32"/>
          <w:szCs w:val="32"/>
        </w:rPr>
        <w:t>表6 落实政策表</w:t>
      </w:r>
    </w:p>
    <w:tbl>
      <w:tblPr>
        <w:tblStyle w:val="2"/>
        <w:tblW w:w="8957" w:type="dxa"/>
        <w:jc w:val="center"/>
        <w:tblLayout w:type="fixed"/>
        <w:tblCellMar>
          <w:top w:w="0" w:type="dxa"/>
          <w:left w:w="108" w:type="dxa"/>
          <w:bottom w:w="0" w:type="dxa"/>
          <w:right w:w="108" w:type="dxa"/>
        </w:tblCellMar>
      </w:tblPr>
      <w:tblGrid>
        <w:gridCol w:w="851"/>
        <w:gridCol w:w="851"/>
        <w:gridCol w:w="425"/>
        <w:gridCol w:w="895"/>
        <w:gridCol w:w="2931"/>
        <w:gridCol w:w="994"/>
        <w:gridCol w:w="994"/>
        <w:gridCol w:w="1016"/>
      </w:tblGrid>
      <w:tr>
        <w:tblPrEx>
          <w:tblCellMar>
            <w:top w:w="0" w:type="dxa"/>
            <w:left w:w="108" w:type="dxa"/>
            <w:bottom w:w="0" w:type="dxa"/>
            <w:right w:w="108" w:type="dxa"/>
          </w:tblCellMar>
        </w:tblPrEx>
        <w:trPr>
          <w:trHeight w:val="480" w:hRule="atLeast"/>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76"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院校代码</w:t>
            </w:r>
          </w:p>
        </w:tc>
        <w:tc>
          <w:tcPr>
            <w:tcW w:w="851"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76"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院校名称</w:t>
            </w:r>
          </w:p>
        </w:tc>
        <w:tc>
          <w:tcPr>
            <w:tcW w:w="4251"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spacing w:line="360"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指标</w:t>
            </w:r>
          </w:p>
        </w:tc>
        <w:tc>
          <w:tcPr>
            <w:tcW w:w="994"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360"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单位</w:t>
            </w:r>
          </w:p>
        </w:tc>
        <w:tc>
          <w:tcPr>
            <w:tcW w:w="994"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360"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201</w:t>
            </w:r>
            <w:r>
              <w:rPr>
                <w:rFonts w:hint="eastAsia" w:ascii="仿宋_GB2312" w:hAnsi="Cambria" w:eastAsia="仿宋_GB2312" w:cs="宋体"/>
                <w:b/>
                <w:bCs/>
                <w:kern w:val="0"/>
                <w:sz w:val="24"/>
                <w:szCs w:val="24"/>
                <w:lang w:val="en-US" w:eastAsia="zh-CN"/>
              </w:rPr>
              <w:t>9</w:t>
            </w:r>
            <w:r>
              <w:rPr>
                <w:rFonts w:hint="eastAsia" w:ascii="仿宋_GB2312" w:hAnsi="Cambria" w:eastAsia="仿宋_GB2312" w:cs="宋体"/>
                <w:b/>
                <w:bCs/>
                <w:kern w:val="0"/>
                <w:sz w:val="24"/>
                <w:szCs w:val="24"/>
              </w:rPr>
              <w:t>年</w:t>
            </w:r>
          </w:p>
        </w:tc>
        <w:tc>
          <w:tcPr>
            <w:tcW w:w="1016"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360" w:lineRule="auto"/>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w:t>
            </w:r>
            <w:r>
              <w:rPr>
                <w:rFonts w:hint="eastAsia" w:ascii="仿宋_GB2312" w:hAnsi="Cambria" w:eastAsia="仿宋_GB2312" w:cs="宋体"/>
                <w:b/>
                <w:bCs/>
                <w:kern w:val="0"/>
                <w:sz w:val="24"/>
                <w:szCs w:val="24"/>
                <w:lang w:val="en-US" w:eastAsia="zh-CN"/>
              </w:rPr>
              <w:t>20</w:t>
            </w:r>
            <w:r>
              <w:rPr>
                <w:rFonts w:hint="eastAsia" w:ascii="仿宋_GB2312" w:hAnsi="Cambria" w:eastAsia="仿宋_GB2312" w:cs="宋体"/>
                <w:b/>
                <w:bCs/>
                <w:kern w:val="0"/>
                <w:sz w:val="24"/>
                <w:szCs w:val="24"/>
              </w:rPr>
              <w:t>年</w:t>
            </w:r>
          </w:p>
        </w:tc>
      </w:tr>
      <w:tr>
        <w:tblPrEx>
          <w:tblCellMar>
            <w:top w:w="0" w:type="dxa"/>
            <w:left w:w="108" w:type="dxa"/>
            <w:bottom w:w="0" w:type="dxa"/>
            <w:right w:w="108" w:type="dxa"/>
          </w:tblCellMar>
        </w:tblPrEx>
        <w:trPr>
          <w:trHeight w:val="390" w:hRule="atLeast"/>
          <w:jc w:val="center"/>
        </w:trPr>
        <w:tc>
          <w:tcPr>
            <w:tcW w:w="851" w:type="dxa"/>
            <w:vMerge w:val="restart"/>
            <w:tcBorders>
              <w:top w:val="single" w:color="auto" w:sz="4" w:space="0"/>
              <w:left w:val="single" w:color="auto" w:sz="4" w:space="0"/>
              <w:right w:val="single" w:color="auto" w:sz="4" w:space="0"/>
            </w:tcBorders>
            <w:shd w:val="clear" w:color="000000" w:fill="FFFFFF"/>
            <w:vAlign w:val="bottom"/>
          </w:tcPr>
          <w:p>
            <w:pPr>
              <w:widowControl/>
              <w:spacing w:line="360" w:lineRule="auto"/>
              <w:rPr>
                <w:rFonts w:ascii="仿宋_GB2312" w:hAnsi="Cambria" w:eastAsia="仿宋_GB2312" w:cs="宋体"/>
                <w:kern w:val="0"/>
                <w:sz w:val="24"/>
                <w:szCs w:val="24"/>
              </w:rPr>
            </w:pPr>
          </w:p>
        </w:tc>
        <w:tc>
          <w:tcPr>
            <w:tcW w:w="851" w:type="dxa"/>
            <w:vMerge w:val="restart"/>
            <w:tcBorders>
              <w:top w:val="single" w:color="auto" w:sz="4" w:space="0"/>
              <w:left w:val="single" w:color="auto" w:sz="4" w:space="0"/>
              <w:right w:val="single" w:color="auto" w:sz="4" w:space="0"/>
            </w:tcBorders>
            <w:shd w:val="clear" w:color="000000" w:fill="FFFFFF"/>
            <w:vAlign w:val="bottom"/>
          </w:tcPr>
          <w:p>
            <w:pPr>
              <w:widowControl/>
              <w:spacing w:line="360" w:lineRule="auto"/>
              <w:rPr>
                <w:rFonts w:ascii="仿宋_GB2312" w:hAnsi="Cambria" w:eastAsia="仿宋_GB2312" w:cs="宋体"/>
                <w:kern w:val="0"/>
                <w:sz w:val="24"/>
                <w:szCs w:val="24"/>
              </w:rPr>
            </w:pPr>
          </w:p>
        </w:tc>
        <w:tc>
          <w:tcPr>
            <w:tcW w:w="425" w:type="dxa"/>
            <w:vMerge w:val="restart"/>
            <w:tcBorders>
              <w:top w:val="nil"/>
              <w:left w:val="nil"/>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1</w:t>
            </w:r>
          </w:p>
        </w:tc>
        <w:tc>
          <w:tcPr>
            <w:tcW w:w="3826" w:type="dxa"/>
            <w:gridSpan w:val="2"/>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年生均财政拨款水平</w:t>
            </w:r>
          </w:p>
        </w:tc>
        <w:tc>
          <w:tcPr>
            <w:tcW w:w="994" w:type="dxa"/>
            <w:tcBorders>
              <w:top w:val="nil"/>
              <w:left w:val="nil"/>
              <w:bottom w:val="single" w:color="auto" w:sz="4" w:space="0"/>
              <w:right w:val="single" w:color="auto" w:sz="4" w:space="0"/>
            </w:tcBorders>
            <w:shd w:val="clear" w:color="000000" w:fill="FFFFFF"/>
            <w:noWrap/>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15307.45</w:t>
            </w:r>
          </w:p>
        </w:tc>
        <w:tc>
          <w:tcPr>
            <w:tcW w:w="1016" w:type="dxa"/>
            <w:tcBorders>
              <w:top w:val="nil"/>
              <w:left w:val="nil"/>
              <w:bottom w:val="single" w:color="auto" w:sz="4" w:space="0"/>
              <w:right w:val="single" w:color="auto" w:sz="4" w:space="0"/>
            </w:tcBorders>
            <w:shd w:val="clear" w:color="000000" w:fill="FFFFFF"/>
            <w:noWrap/>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p>
        </w:tc>
        <w:tc>
          <w:tcPr>
            <w:tcW w:w="3826" w:type="dxa"/>
            <w:gridSpan w:val="2"/>
            <w:tcBorders>
              <w:top w:val="nil"/>
              <w:left w:val="nil"/>
              <w:bottom w:val="single" w:color="auto" w:sz="4" w:space="0"/>
              <w:right w:val="single" w:color="auto" w:sz="4" w:space="0"/>
            </w:tcBorders>
            <w:shd w:val="clear" w:color="auto" w:fill="auto"/>
            <w:noWrap/>
            <w:vAlign w:val="center"/>
          </w:tcPr>
          <w:p>
            <w:pPr>
              <w:widowControl/>
              <w:spacing w:line="360" w:lineRule="auto"/>
              <w:ind w:firstLine="240" w:firstLineChars="1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其中：年生均财政专项经费</w:t>
            </w:r>
          </w:p>
        </w:tc>
        <w:tc>
          <w:tcPr>
            <w:tcW w:w="994" w:type="dxa"/>
            <w:tcBorders>
              <w:top w:val="nil"/>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3590.05</w:t>
            </w:r>
          </w:p>
        </w:tc>
        <w:tc>
          <w:tcPr>
            <w:tcW w:w="1016" w:type="dxa"/>
            <w:tcBorders>
              <w:top w:val="nil"/>
              <w:left w:val="nil"/>
              <w:bottom w:val="single" w:color="auto" w:sz="4" w:space="0"/>
              <w:right w:val="single" w:color="auto" w:sz="4" w:space="0"/>
            </w:tcBorders>
            <w:shd w:val="clear" w:color="000000" w:fill="FFFFFF"/>
            <w:vAlign w:val="center"/>
          </w:tcPr>
          <w:p>
            <w:pPr>
              <w:widowControl/>
              <w:spacing w:line="360" w:lineRule="auto"/>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restart"/>
            <w:tcBorders>
              <w:top w:val="nil"/>
              <w:left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2</w:t>
            </w:r>
          </w:p>
        </w:tc>
        <w:tc>
          <w:tcPr>
            <w:tcW w:w="3826" w:type="dxa"/>
            <w:gridSpan w:val="2"/>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教职员工额定编制数</w:t>
            </w:r>
          </w:p>
        </w:tc>
        <w:tc>
          <w:tcPr>
            <w:tcW w:w="994" w:type="dxa"/>
            <w:tcBorders>
              <w:top w:val="nil"/>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人</w:t>
            </w:r>
          </w:p>
        </w:tc>
        <w:tc>
          <w:tcPr>
            <w:tcW w:w="99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360</w:t>
            </w:r>
          </w:p>
        </w:tc>
        <w:tc>
          <w:tcPr>
            <w:tcW w:w="1016" w:type="dxa"/>
            <w:tcBorders>
              <w:top w:val="nil"/>
              <w:left w:val="nil"/>
              <w:bottom w:val="single" w:color="auto" w:sz="4" w:space="0"/>
              <w:right w:val="single" w:color="auto" w:sz="4" w:space="0"/>
            </w:tcBorders>
            <w:shd w:val="clear" w:color="000000" w:fill="FFFFFF"/>
            <w:vAlign w:val="center"/>
          </w:tcPr>
          <w:p>
            <w:pPr>
              <w:widowControl/>
              <w:spacing w:line="360" w:lineRule="auto"/>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3826" w:type="dxa"/>
            <w:gridSpan w:val="2"/>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在岗教职员工总数</w:t>
            </w:r>
          </w:p>
        </w:tc>
        <w:tc>
          <w:tcPr>
            <w:tcW w:w="994" w:type="dxa"/>
            <w:tcBorders>
              <w:top w:val="nil"/>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人</w:t>
            </w:r>
          </w:p>
        </w:tc>
        <w:tc>
          <w:tcPr>
            <w:tcW w:w="99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338</w:t>
            </w:r>
          </w:p>
        </w:tc>
        <w:tc>
          <w:tcPr>
            <w:tcW w:w="1016" w:type="dxa"/>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95" w:type="dxa"/>
            <w:vMerge w:val="restart"/>
            <w:tcBorders>
              <w:top w:val="nil"/>
              <w:left w:val="nil"/>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w:t>
            </w:r>
          </w:p>
        </w:tc>
        <w:tc>
          <w:tcPr>
            <w:tcW w:w="2931" w:type="dxa"/>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专任教师总数</w:t>
            </w:r>
          </w:p>
        </w:tc>
        <w:tc>
          <w:tcPr>
            <w:tcW w:w="994" w:type="dxa"/>
            <w:tcBorders>
              <w:top w:val="nil"/>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人</w:t>
            </w:r>
          </w:p>
        </w:tc>
        <w:tc>
          <w:tcPr>
            <w:tcW w:w="99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241</w:t>
            </w:r>
          </w:p>
        </w:tc>
        <w:tc>
          <w:tcPr>
            <w:tcW w:w="1016" w:type="dxa"/>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95" w:type="dxa"/>
            <w:vMerge w:val="continue"/>
            <w:tcBorders>
              <w:left w:val="nil"/>
              <w:bottom w:val="single" w:color="auto" w:sz="4" w:space="0"/>
              <w:right w:val="single" w:color="auto" w:sz="4" w:space="0"/>
            </w:tcBorders>
            <w:shd w:val="clear" w:color="000000" w:fill="FFFFFF"/>
            <w:vAlign w:val="center"/>
          </w:tcPr>
          <w:p>
            <w:pPr>
              <w:widowControl/>
              <w:spacing w:line="360" w:lineRule="auto"/>
              <w:ind w:firstLine="240" w:firstLineChars="100"/>
              <w:jc w:val="left"/>
              <w:rPr>
                <w:rFonts w:hint="eastAsia" w:ascii="仿宋_GB2312" w:hAnsi="Cambria" w:eastAsia="仿宋_GB2312" w:cs="宋体"/>
                <w:kern w:val="0"/>
                <w:sz w:val="24"/>
                <w:szCs w:val="24"/>
              </w:rPr>
            </w:pPr>
          </w:p>
        </w:tc>
        <w:tc>
          <w:tcPr>
            <w:tcW w:w="2931" w:type="dxa"/>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专任教师年培训量</w:t>
            </w:r>
          </w:p>
        </w:tc>
        <w:tc>
          <w:tcPr>
            <w:tcW w:w="994" w:type="dxa"/>
            <w:tcBorders>
              <w:top w:val="nil"/>
              <w:left w:val="nil"/>
              <w:bottom w:val="single" w:color="auto" w:sz="4" w:space="0"/>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人日</w:t>
            </w:r>
          </w:p>
        </w:tc>
        <w:tc>
          <w:tcPr>
            <w:tcW w:w="994"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2917</w:t>
            </w:r>
          </w:p>
        </w:tc>
        <w:tc>
          <w:tcPr>
            <w:tcW w:w="1016" w:type="dxa"/>
            <w:tcBorders>
              <w:top w:val="nil"/>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ascii="仿宋_GB2312" w:hAnsi="Cambria" w:eastAsia="仿宋_GB2312" w:cs="宋体"/>
                <w:kern w:val="0"/>
                <w:sz w:val="24"/>
                <w:szCs w:val="24"/>
              </w:rPr>
              <w:t>3</w:t>
            </w: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企业提供的校内实践教学设备值</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万元</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 xml:space="preserve">102.00 </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4</w:t>
            </w: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年生均校外实训基地实习时间</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人时</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646</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restart"/>
            <w:tcBorders>
              <w:top w:val="single" w:color="auto" w:sz="4" w:space="0"/>
              <w:left w:val="nil"/>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5</w:t>
            </w: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生均企业实习经费补贴</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0</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ind w:firstLine="240" w:firstLineChars="1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其中：生均财政专项补贴</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0</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restart"/>
            <w:tcBorders>
              <w:top w:val="nil"/>
              <w:left w:val="nil"/>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6</w:t>
            </w:r>
          </w:p>
        </w:tc>
        <w:tc>
          <w:tcPr>
            <w:tcW w:w="382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生均企业实习责任保险补贴</w:t>
            </w: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50</w:t>
            </w:r>
          </w:p>
        </w:tc>
        <w:tc>
          <w:tcPr>
            <w:tcW w:w="101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5"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p>
        </w:tc>
        <w:tc>
          <w:tcPr>
            <w:tcW w:w="382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ind w:firstLine="240" w:firstLineChars="1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其中：生均财政专项补贴</w:t>
            </w: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0</w:t>
            </w:r>
          </w:p>
        </w:tc>
        <w:tc>
          <w:tcPr>
            <w:tcW w:w="101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restart"/>
            <w:tcBorders>
              <w:top w:val="nil"/>
              <w:left w:val="nil"/>
              <w:right w:val="single" w:color="auto" w:sz="4" w:space="0"/>
            </w:tcBorders>
            <w:shd w:val="clear" w:color="000000" w:fill="FFFFFF"/>
            <w:vAlign w:val="center"/>
          </w:tcPr>
          <w:p>
            <w:pPr>
              <w:widowControl/>
              <w:spacing w:line="360" w:lineRule="auto"/>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7</w:t>
            </w: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企业兼职教师年课时总量</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课时</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17742</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nil"/>
              <w:right w:val="single" w:color="auto" w:sz="4" w:space="0"/>
            </w:tcBorders>
            <w:shd w:val="clear" w:color="000000" w:fill="FFFFFF"/>
            <w:vAlign w:val="center"/>
          </w:tcPr>
          <w:p>
            <w:pPr>
              <w:widowControl/>
              <w:spacing w:line="360" w:lineRule="auto"/>
              <w:rPr>
                <w:rFonts w:ascii="仿宋_GB2312" w:hAnsi="Cambria" w:eastAsia="仿宋_GB2312" w:cs="宋体"/>
                <w:kern w:val="0"/>
                <w:sz w:val="24"/>
                <w:szCs w:val="24"/>
              </w:rPr>
            </w:pP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年支付企业兼职教师课酬</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856914</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390" w:hRule="atLeast"/>
          <w:jc w:val="center"/>
        </w:trPr>
        <w:tc>
          <w:tcPr>
            <w:tcW w:w="851" w:type="dxa"/>
            <w:vMerge w:val="continue"/>
            <w:tcBorders>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851" w:type="dxa"/>
            <w:vMerge w:val="continue"/>
            <w:tcBorders>
              <w:left w:val="single" w:color="auto" w:sz="4" w:space="0"/>
              <w:bottom w:val="single" w:color="auto" w:sz="4" w:space="0"/>
              <w:right w:val="single" w:color="auto" w:sz="4" w:space="0"/>
            </w:tcBorders>
            <w:shd w:val="clear" w:color="auto" w:fill="auto"/>
            <w:vAlign w:val="center"/>
          </w:tcPr>
          <w:p>
            <w:pPr>
              <w:widowControl/>
              <w:spacing w:line="360" w:lineRule="auto"/>
              <w:jc w:val="left"/>
              <w:rPr>
                <w:rFonts w:ascii="仿宋_GB2312" w:hAnsi="Cambria" w:eastAsia="仿宋_GB2312" w:cs="宋体"/>
                <w:kern w:val="0"/>
                <w:sz w:val="24"/>
                <w:szCs w:val="24"/>
              </w:rPr>
            </w:pPr>
          </w:p>
        </w:tc>
        <w:tc>
          <w:tcPr>
            <w:tcW w:w="425" w:type="dxa"/>
            <w:vMerge w:val="continue"/>
            <w:tcBorders>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p>
        </w:tc>
        <w:tc>
          <w:tcPr>
            <w:tcW w:w="3826"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ind w:firstLine="240" w:firstLineChars="1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其中：财政专项补贴</w:t>
            </w:r>
          </w:p>
        </w:tc>
        <w:tc>
          <w:tcPr>
            <w:tcW w:w="994"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w:t>
            </w:r>
          </w:p>
        </w:tc>
        <w:tc>
          <w:tcPr>
            <w:tcW w:w="994" w:type="dxa"/>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80000</w:t>
            </w:r>
          </w:p>
        </w:tc>
        <w:tc>
          <w:tcPr>
            <w:tcW w:w="1016" w:type="dxa"/>
            <w:tcBorders>
              <w:top w:val="single" w:color="auto" w:sz="4" w:space="0"/>
              <w:left w:val="nil"/>
              <w:bottom w:val="single" w:color="auto" w:sz="4" w:space="0"/>
              <w:right w:val="single" w:color="auto" w:sz="4" w:space="0"/>
            </w:tcBorders>
            <w:shd w:val="clear" w:color="000000" w:fill="FFFFFF"/>
            <w:vAlign w:val="center"/>
          </w:tcPr>
          <w:p>
            <w:pPr>
              <w:widowControl/>
              <w:spacing w:line="360" w:lineRule="auto"/>
              <w:jc w:val="left"/>
              <w:rPr>
                <w:rFonts w:ascii="仿宋_GB2312" w:hAnsi="Cambria" w:eastAsia="仿宋_GB2312" w:cs="宋体"/>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24D"/>
    <w:rsid w:val="0010107E"/>
    <w:rsid w:val="00494EC8"/>
    <w:rsid w:val="0074524D"/>
    <w:rsid w:val="41F07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195</Words>
  <Characters>1118</Characters>
  <Lines>9</Lines>
  <Paragraphs>2</Paragraphs>
  <TotalTime>1</TotalTime>
  <ScaleCrop>false</ScaleCrop>
  <LinksUpToDate>false</LinksUpToDate>
  <CharactersWithSpaces>1311</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2019-12-02T06:51:00Z</dcterms:created>
  <dc:creator>User</dc:creator>
  <cp:lastModifiedBy>顾至欣</cp:lastModifiedBy>
  <dcterms:modified xsi:type="dcterms:W3CDTF">2020-09-11T03:50:49Z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